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09.12.2020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поведения в опасных и ЧС соц. хар-ра - чит. с.277-286 Учебник ОБЖ 10 кл. /М.П. Фролов - М.2014.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Изучить тему: “Бадминтон.Техника игры. Игра- тренировка” , используя интернет-ресурсы.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AMUW2mVqXbTOHqwx3OVs7jurbmzOak6QICVIpB1XbdiONNU8kfr4fASSSBrqxPs+PxOxHT4DseQbV0gc3henuLxOSXVAfRIsHlJmo4n/+MldZKcjKxK8OkQ=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