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20"/>
        <w:tblGridChange w:id="0">
          <w:tblGrid>
            <w:gridCol w:w="2970"/>
            <w:gridCol w:w="241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09.12.2020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стр.123 №38, стр.119 № 261, стр.121 № 35, 36.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Из. музык. лит-ры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76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доклад о В.Каратыгине. </w:t>
            </w:r>
          </w:p>
          <w:p w:rsidR="00000000" w:rsidDel="00000000" w:rsidP="00000000" w:rsidRDefault="00000000" w:rsidRPr="00000000" w14:paraId="0000001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76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«Зарубежная музыка ХХ века. Материалы и документы». Изд. мгк, 1970-е гг.</w:t>
              <w:br w:type="textWrapping"/>
              <w:t xml:space="preserve">Статья В. Каратыгина «Новейшие течения западноевропейской музыки».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биографию В. А. Моцарта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AMUW2mVVeyEdCTk5vz7N+sMNhcVkMHV5sw0NxsSVajIfIWNHg0p8utWoiSMs1WmCjobq66x1SQuQ8mINby2XfrKuwHANx8HlU2YlFkfSUzXgyhYHWRPGwtA=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