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05.12.2020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письмо по памяти. Отрывок из романа И.Тургенева “Отцы и дети”: “Есть небольшое сельское кладбище...”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Общественно-политическое развитие России в 90-е гг XX века. Конституция 1993 года.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Биотические экологические факторы.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“Воспитание чувства формы” и задание по ссылке: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https://drive.google.com/file/d/1EcREXxivR4KT_1VKgJLvu7JetZC6pR7l/view?usp=sharing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му-лит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Педагогическая работа по сольфеджио.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EcREXxivR4KT_1VKgJLvu7JetZC6pR7l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AMUW2mUq0WXBAFpGSzUvbzGNXJsWDANpshL52Da+aP9XlQsCSRN6oTxtd/j55woPomLYjFFh11o3WCR7IFYPtWQrhHASEeQHXtiM39jR4p/1GeMF9LOuoaE=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