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000"/>
        <w:tblGridChange w:id="0">
          <w:tblGrid>
            <w:gridCol w:w="2970"/>
            <w:gridCol w:w="2010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31.10.2020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“Свойства певческого голоса”: 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lineRule="auto"/>
              <w:jc w:val="both"/>
              <w:rPr>
                <w:rFonts w:ascii="Arial" w:cs="Arial" w:eastAsia="Arial" w:hAnsi="Arial"/>
                <w:highlight w:val="whit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https://drive.google.com/file/d/15rp-v6ZJOsYwLM2JJPxjusb6Kar3LWVa/view?usp=sharing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Rule="auto"/>
              <w:jc w:val="both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устному опросу.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“Воспитание вокальных навыков у детей младшего возраста (6 - 10 лет):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https://drive.google.com/file/d/1lXjZhuD7M96JzoXgfPo4KB9ZFg7gl_qb/view?usp=sharing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устному опросу.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5rp-v6ZJOsYwLM2JJPxjusb6Kar3LWVa/view?usp=sharing" TargetMode="External"/><Relationship Id="rId8" Type="http://schemas.openxmlformats.org/officeDocument/2006/relationships/hyperlink" Target="https://drive.google.com/file/d/1lXjZhuD7M96JzoXgfPo4KB9ZFg7gl_q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L1EsP710H6GSbIYFs0kyhLAzQ==">AMUW2mXNjuNn6jeZifzUKCFEXGEssHv11RxBY0gvCtcSHzTOk6VAOrL5TcdYfWNVIPJ8oqeBicuYU5rfgPykQ9qSP+zQvqHjZpb1dvS9PgE5oQcIn3P23vA=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