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29.10.2020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медицинских знаний: общие принципы оказания первой помощи. - чит. с 241-242 Учебник ОБЖ 11 кл./М.П. Фролов - М.2014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мажорные и минорные трезвучия от белых и чёрных клавиш; бм3 от белых и чёрных клавиш.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Песенки подбирать и петь от белых и чёрных клавиш; петь их с дирижированием.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Мелодия №14 - играть, петь и дирижировать, называя ноты в ритме.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симфонии Гайдна №103 и №45; подготовиться к опросу по творчеству Гайдна.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интернет: История России. Лекция 7. Под властью Орды.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Самостоятельно записать на видео домашнюю работу (упражнение на психофизическое состояние).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Культура Киевской Руси 9-12 век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https://www.rsu.edu.ru/wp-content/uploads/e-learning/History_of_Art/Epochs/Ep110.html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 2. 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Сущность, закономерности и принципы педагогического процесса (конспект)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https://yadi.sk/d/fye0gRG2XgxC5Q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Готовимся к контрольной работе по лекции  №1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https://vk.com/doc65906978_572203381?hash=c82f926bfa2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highlight w:val="white"/>
                  <w:rtl w:val="0"/>
                </w:rPr>
                <w:t xml:space="preserve">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doc65906978_572203381?hash=c82f926bfa2570e123&amp;dl=e27e046a3c0e16cde6" TargetMode="External"/><Relationship Id="rId9" Type="http://schemas.openxmlformats.org/officeDocument/2006/relationships/hyperlink" Target="https://vk.com/doc65906978_572203381?hash=c82f926bfa2570e123&amp;dl=e27e046a3c0e16cde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su.edu.ru/wp-content/uploads/e-learning/History_of_Art/Epochs/Ep110.html" TargetMode="External"/><Relationship Id="rId8" Type="http://schemas.openxmlformats.org/officeDocument/2006/relationships/hyperlink" Target="https://yadi.sk/d/fye0gRG2XgxC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AMUW2mX2BSqtKQhdoBIWztdCQ1tx8S1UJRHI/wy7lJTaWpdLI+sbEzOW/6THdHb4m1jhZGc0q60tm1TAdhTMn1keBm7LCRHYWzENjgesSy6vXO/m59ZmNTs=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