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Одногол.№69-72. двухгол.36.  В D -dur :T-T-S-S-D-D-T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Одноголосие № 54-56. Алексеев №6,7.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творчеству Р.Шумана.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Урбанизация, её характеристика.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трёхрехголосие №42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четырёхголосие №26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Маслёнкова №241, №242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Цифровки из Мясоедова, тема мажоро-минор.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Репродуктивное здоровье, здоровый образ жизни. - чит. с.311-338 Учебник ОБЖ 10 кл./М.П. Фролов. - М.2014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“Настольный теннис. Соревнования в группе”, используя интернет-ресурсы.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AMUW2mVia0fpJyUJC1QpSWDiuavA1Y63sCE3tH6v0PVg7a3ZclnbADZLHlI7d2jyhEo/Zm6vrFEodMkvkGHoICiS2LuFXnZy039TRNtZpeZ/vn28nOnNTTA=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