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7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30"/>
        <w:gridCol w:w="5475"/>
        <w:tblGridChange w:id="0">
          <w:tblGrid>
            <w:gridCol w:w="2970"/>
            <w:gridCol w:w="2430"/>
            <w:gridCol w:w="54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22.10.2020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жизненного и творческого пути Ф. Шопена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Лекция 2. Тема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00000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Сущность, закономерности и принципы педагогического процесса (конспект)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https://yadi.sk/d/fye0gRG2XgxC5Q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Готовимся к контрольной работе по лекции  №1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highlight w:val="white"/>
                  <w:rtl w:val="0"/>
                </w:rPr>
                <w:t xml:space="preserve">https://vk.com/doc65906978_572203381?hash=c82f926bfa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Теле-радио журналистика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525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E3111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d/fye0gRG2XgxC5Q" TargetMode="External"/><Relationship Id="rId8" Type="http://schemas.openxmlformats.org/officeDocument/2006/relationships/hyperlink" Target="https://vk.com/doc65906978_572203381?hash=c82f926bfa2570e123&amp;dl=e27e046a3c0e16cd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IpV26+rHoA5JOAiIsAD7B1tghw==">AMUW2mXGt8dpP2YaRlYYG5Dh95RhnNKVlqmHng5XUG1OpE/b2NW2O3iXdb8MpdD7YUsI+crl251LStz+2lpMY8mUkiwK16+zloYuYEQGivrc+kRsHmE2vuA=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