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21.10.2020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Из. музык. лит-ры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Моисеевич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учебнику Курышевой,  главы 3.1, 3.2.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виды и примеры миграций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AMUW2mVjW8sb+GxtT7DNl0yrx3kFiwpWnJhuX8SGLDv0VRiVlp4kC88fr0RWHNGAXxe2AOXmtfnvx8GnxIzanpGfqraTEiexKoBq06zapEAMlCl5j9eEwGM=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