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520"/>
        <w:gridCol w:w="6240"/>
        <w:tblGridChange w:id="0">
          <w:tblGrid>
            <w:gridCol w:w="2490"/>
            <w:gridCol w:w="2520"/>
            <w:gridCol w:w="62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365-370, двухголосие 38.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прошлой недели.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на 26.10.20: опрос по “Неоконченной” симфонии Шуберта. С собой иметь ноты вокального цикла Шумана “Любовь поэта” и фортепианного цикла “Карнавал”. 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опере “Руслан и Людмила” М. И. Глинки (26.10)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русского эстрадного пения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А. Градского</w:t>
              <w:br w:type="textWrapping"/>
              <w:t xml:space="preserve">https://vk.com/im?sel=c34</w:t>
            </w:r>
          </w:p>
        </w:tc>
      </w:tr>
      <w:tr>
        <w:trPr>
          <w:trHeight w:val="6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роль женщин в современном обществе: репродуктивное здоровье женщин и факторы на него влияющие.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Джазовый авангард. 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https://vk.com/im?sel=c37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</w:tbl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lvD/6JMsVRqjVWU+bCB1x5/og==">AMUW2mVIMX8hgy3QWdGDtABb133sMyCGJNFqaGF6/eZulPBH37u5gj1iAJvXUNW/hqtbiXvcCoQSqhz1l86mAVZbaIFFad8qtgbJWm4o53ZIJZKTbq19MnQ=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