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 15.10.2020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 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</w:tc>
      </w:tr>
      <w:tr>
        <w:trPr>
          <w:trHeight w:val="93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рисунку выполняем серию набросков и зарисовок фигуры с использованием разных техник и материалов: только линия, линия - пятно, линия-штрих, маркер, линер, уголь, сангина…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Немецкая классическая философия - чит. с.55-64 Основы философии. С.Н. Кочеров - М.2019.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FCbsOFVtdMjSlszslSGtCkxWg==">AMUW2mW2HcPBuKqtDKFSOvzggmwMBebfDs1A54df0J3RemqAlwkrh6NI6mMQc6UZFUhr7ScQS72tIkTyv3vR0ocKFUfl5ZHjH0Bfc5WiDiGyiETsQtAjkkgp0SLGJSZmJ5htxeIKVNrPSkvpRjhfiWSow0G8NWy+HA==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