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85"/>
        <w:tblGridChange w:id="0">
          <w:tblGrid>
            <w:gridCol w:w="2970"/>
            <w:gridCol w:w="2415"/>
            <w:gridCol w:w="56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Условия письменных и устных упражнений в группе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Контакте.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Из. музык. лит-ры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Моисеевич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Дочитать Вебера “Жизнь музыканта”, конспект по Ливановой, анализ сборника гнесинки.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темы по Итальянскому концерту И. С. Баха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М. И. Глинки “Руслан и Людмила”</w:t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9rTe2dzv/XGRWZ4AaRz9mSVbg==">AMUW2mUL4S7xULXcah1cWEZllQavX0QusnGl7C+toJYiSdLC42+1uoGYj2EbJvBwlgTtdNTyB5QxnVBilDpoPi5fn6tsU7yFN8qk8QpH1nUV9gEWoRdb+QI=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