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145"/>
        <w:gridCol w:w="6210"/>
        <w:tblGridChange w:id="0">
          <w:tblGrid>
            <w:gridCol w:w="2865"/>
            <w:gridCol w:w="214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Преодоление полосы препятствий. Выполнить комплекс упражнений, используя интернет-ресурсы 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https://vk.com/wall-51141432_139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СССР во II половине 60-х гг:политическое развитие, экономические реформы и их результат.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бригадном учебнике читать стр. 9-12. выучить названия неакордовых звуков.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Проанализировать баховские хоралы (ноты высланы в вк), определить и подписать в нотах (в электронном виде) все аккорды и названия неаккордовых звуков.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Абызова - упражнения на фно на стр. 37 и 38 №1-8 (сканы страниц учебника отправлены в вк). Плюс задачи № 61 там же.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 группе ВК.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II действие оперы М. И. Глинка “Руслан и Людмила”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публицистическому стилю, задание размещено в беседе ВК.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(Психология 2т. - Р.Немов):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и мышление младенцев;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и игровая деятельность детей раннего возраста.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144-151 “Русская музыкальная культура в начале XX века” (РМЛ, вып. 4)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А. Н. Скрябина (РМЛ, вып. 4, стр. 152-159)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прежней недели.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книгу В. Пономаренко  “Практическая характерология. Методика 7 радикалов”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35"/>
                <w:szCs w:val="35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868a0"/>
                  <w:sz w:val="24"/>
                  <w:szCs w:val="24"/>
                  <w:u w:val="single"/>
                  <w:rtl w:val="0"/>
                </w:rPr>
                <w:t xml:space="preserve">https://www.labirint.ru/books/706463</w:t>
              </w:r>
            </w:hyperlink>
            <w:hyperlink r:id="rId9">
              <w:r w:rsidDel="00000000" w:rsidR="00000000" w:rsidRPr="00000000">
                <w:rPr>
                  <w:rFonts w:ascii="Arial" w:cs="Arial" w:eastAsia="Arial" w:hAnsi="Arial"/>
                  <w:color w:val="1868a0"/>
                  <w:sz w:val="35"/>
                  <w:szCs w:val="35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теме “Психология манипулирования” по ссылке: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https://drive.google.com/file/d/1CTHlpjK84ynbDmCiP-WyfuIZwA_ghK0F/view?usp=sharing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выслать на страничку в вк https://vk.com/id416688735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Сочинить и выучить наизусть период, модулирующий в тональности доминантовой группы.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бригадном читать раздел темы 35 - Б. Модуляция в тональности субдоминантовой группы. Главное - запомнить, кто может быть общим (посредствующим) аккордом и способы его введения.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525 - № 6 и 10.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схемы модуляций в тональности субдоминантовой группы из Си мажора и соль-диез минора.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- Чайковский “Подснежник” (из “Времен года”) - начальный период.</w:t>
            </w:r>
          </w:p>
        </w:tc>
      </w:tr>
    </w:tbl>
    <w:p w:rsidR="00000000" w:rsidDel="00000000" w:rsidP="00000000" w:rsidRDefault="00000000" w:rsidRPr="00000000" w14:paraId="0000004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CTHlpjK84ynbDmCiP-WyfuIZwA_ghK0F/view?usp=sharing" TargetMode="External"/><Relationship Id="rId9" Type="http://schemas.openxmlformats.org/officeDocument/2006/relationships/hyperlink" Target="https://www.labirint.ru/books/70646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wall-51141432_139" TargetMode="External"/><Relationship Id="rId8" Type="http://schemas.openxmlformats.org/officeDocument/2006/relationships/hyperlink" Target="https://www.labirint.ru/books/7064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VUNWoWUsLeYDWB02/p+tnCjGA==">AMUW2mX6+/vVOu/8avglgu4yn1DRbtyalKSbpV5mJn4r1X0ef9FLXlrYOurCUzmgLy2dngRBmAsyeY1ZZj2/o2h8BaOL/2YvDEBdbNWrxqoY+IfMeXVT2vS7EyiSvPVmkiAWmFYn2aZWNjqKTvU3GobLOqY85ip9kg==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