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Выполненное задание прислать личным сообщением преподавателю до 14 октября 09 .00 утра.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Бах. ХТК II том, до минор; ре мажор.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№98-101, двухголосие -тот же. Написать самодиктант.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И.С.Тургенев “Отцы и дети” - читать.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Бах. Токката ми минор - выучить вступление и тему фуги;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Моцарт. Соната №12 - выучить тему главной партии;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Всем, кто не сдал II том доучить.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А.И.Куприн “Гранатовый браслет” - дочитать;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А.П.Чехов “Ионыч” -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главу “Диатонические лады в русской музыке” в бригадном.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2vjcjrudm6i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Анализ - Хор поселян из оперы “Князь Игорь” Бородина. Найти характерные отличия от традиционной классической гармонии (западноевропейской) - о которых читали в учебнике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tmttpbq1xy1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в разных тональностях гарм. обороты из бригадного: 394, 396, 397, 399, 400, 403, 408, 413.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ckcozwwkm4vp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Проанализировать решение задачи №419.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b8fxkdh7fgc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Задачи №421.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Досдать ХТК 2 том; 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oz0gahjzyc0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Моцарт соната №3, №4 - выучить темы главных партий.</w:t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Закончить решение задач 294.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r43zk9symzra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Упражнения в бригадном - 295 и 296.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u w:val="none"/>
              </w:rPr>
            </w:pPr>
            <w:bookmarkStart w:colFirst="0" w:colLast="0" w:name="_heading=h.jqy9zm5d6s42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Соловьева - тема 13, схемы 12 и 13.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Романс сдать. Повторить прежнее задание.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Работа над периодом.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Задания прошлой недели.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9g9mObkjhA32J3hPmzX9r1oMQ==">AMUW2mVjkx8YFEFCQCor3Op/rRL82Te79I09jh7/4N+dMjTtzZx9wqi4uMFZX+dJrT+hI29kLZgpCwVuPRgpftY7hKjlz8mjdSPobwbD/U421Yzvd+SCpBYM37S9dOQmrhtXO5nLSgfWHXKPNaf7NI5CaIjRIKDxS2txiz6AVIedb1r2U8XYyWryZAaeoBuqrm+zI3v4ir5kmh7AsTTb8MC66MXcPfg6wCTRuBy9/1ebADHNg5/3U+USggP+Z3zXrsDkUFm/S8s9c1M/ajiB1WbLzjautqKQxzJwJ5zQ5imQL4+pZi/9ua+X1e8sZ0G9cGlFX/9220IqBGJpEEbBfH01upUC4jaZ4rRupjuj2lhoWHXxV2T9PIYUlxoHRvo9u/Vfg4CZu+pvJGTG/LEchfzUL9FGbPrlUV/UNXv8yOF1h9E5+G8Y09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