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055"/>
        <w:gridCol w:w="6135"/>
        <w:tblGridChange w:id="0">
          <w:tblGrid>
            <w:gridCol w:w="2865"/>
            <w:gridCol w:w="205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И.С.Тургенев “Отцы и дети” - читать.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А.И.Куприн “Гранатовый браслет” - дочитать;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А.П.Чехов “Ионыч” - читать.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главу “Диатонические лады в русской музыке” в бригадном.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2vjcjrudm6i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Анализ - Хор поселян из оперы “Князь Игорь” Бородина. Найти характерные отличия от традиционной классической гармонии (западноевропейской) - о которых читали в учебнике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tmttpbq1xy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в разных тональностях гарм. обороты из бригадного: 394, 396, 397, 399, 400, 403, 408, 413.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ckcozwwkm4vp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Проанализировать решение задачи №419.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b8fxkdh7fgc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Задачи №421.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Закончить решение задач 294.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r43zk9symzra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Упражнения в бригадном - 295 и 296.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jqy9zm5d6s42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Соловьева - тема 13, схемы 12 и 13.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 сдать. Повторить прежнее задание.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часть концерта для маримбы с оркестром Н.Розауро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+gGb+vQtB2JDwuWy4gLrci5vQ==">AMUW2mXD3bzNIkN2TCxvH7AgN+XoQP+eG5sp7GNbIqqIZObgR5K6gBx//qMxfc8VWxd2s48NTg08aNefNp4q3ZDFyb0irydx0QyTAMiRLStZMihhgLjnCBHH+FhsITJrHM7OTgAfSsAeCjUyST08QUD2DAZ5tJpDKZYBX3pejh5dYcHOzZZ13fAxM7/zHtHEJd3ZbPW4GSssvpluU5vEvpn0baf7RZOn/nLMQyHZBd7Y2Se4D5DIwo5E0kbV5stVli+utGPJYyvEiLoFV18KB8uImAkqZHS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