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550"/>
        <w:tblGridChange w:id="0">
          <w:tblGrid>
            <w:gridCol w:w="2970"/>
            <w:gridCol w:w="2415"/>
            <w:gridCol w:w="555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https://vk.com/away.php?to=https%3A%2F%2Fyadi.sk%2Fd%2F4UGJCYPqjSv0dQ&amp;cc_key=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художественного стиля.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Брежнев Л.И.: биография и деятельность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(Биология)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Грачева Е.Г.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Музыкальная одаренность. Музыкальный слух, его компоненты. методика определения музыкальных данных.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Д/з: подготовить план творческого испытания при поступлении в ДМШ.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Краткий обзор различных систем развития слуха.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Д/з: изучить тему (размещение информации в беседе ВК).  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Бег на короткие дистанции (теория).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му-лит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Грачева Е.Г.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Планирование и организация учебного процесса.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«Документы, регламентирующие образовательный процесс».</w:t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«Документы, фиксирующие ход образовательного процесса. Средства обучения. Наглядно-техническое оснащение образовательного процесса» </w:t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(размещение информации в беседе ВК).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Философия Нового времени и немецкая классическая философия - чит. с.44-51, 55-64 Основы философии. Кочеров С.Н. М.2019</w:t>
            </w:r>
          </w:p>
        </w:tc>
      </w:tr>
    </w:tbl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6277E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yadi.sk%2Fd%2F4UGJCYPqjSv0dQ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pcfGa2ahGfF8pZbdui4VZ6llmA==">AMUW2mW6L5XtFRripvPwFwdu4+JD03FrEDqJ4YwtPG+bcdJyBGBf4OsLI6Fhtv+KCT2XW2FgJqrdIzQeZ/OVLWw6ihQwVlcQgJR/9C9aqHoZkXEUm584fFE=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