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935"/>
        <w:gridCol w:w="6030"/>
        <w:tblGridChange w:id="0">
          <w:tblGrid>
            <w:gridCol w:w="2580"/>
            <w:gridCol w:w="1935"/>
            <w:gridCol w:w="60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художественного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Преодоление полосы препятствий.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62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https://drive.google.com/file/d/1wV5o9jwyXKDHppqJr3Cq1PNFdZ5MQaof/view?usp=sharing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Колядина В.И.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wV5o9jwyXKDHppqJr3Cq1PNFdZ5MQaof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wV5o9jwyXKDHppqJr3Cq1PNFdZ5MQao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RUMzNXpaDyi8d2Cs2JAsRS0xw==">AMUW2mXGM8M59QpQNmY3J5aSK0IGKC2lktvxeFPNxHmIbvyCOyy7KEI26NFos26ORkEYWYWQ886bg1Otpw+5aXuRDN1trKrrwAEGGEx45OkQKpw1QpBmUk4=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