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2655"/>
        <w:gridCol w:w="2040"/>
        <w:gridCol w:w="6255"/>
        <w:gridCol w:w="1821"/>
        <w:tblGridChange w:id="0">
          <w:tblGrid>
            <w:gridCol w:w="255"/>
            <w:gridCol w:w="2655"/>
            <w:gridCol w:w="2040"/>
            <w:gridCol w:w="6255"/>
            <w:gridCol w:w="1821"/>
          </w:tblGrid>
        </w:tblGridChange>
      </w:tblGrid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06.10.2020 г.</w:t>
            </w:r>
          </w:p>
        </w:tc>
      </w:tr>
      <w:tr>
        <w:trPr>
          <w:trHeight w:val="1035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урока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Выполненное задание прислать личным сообщением 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 8 октября 09 .00 утра.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Сообщение “из античной истории”</w:t>
            </w:r>
          </w:p>
        </w:tc>
      </w:tr>
      <w:tr>
        <w:trPr>
          <w:trHeight w:val="360" w:hRule="atLeast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Оттепель в духовной жизни общества. интернетурок. составить 10 вопросов-ответов тестового характера в тетради по теме:СССР в 1953-1964 гг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И.А.Бунин “Чистый понедельник”, “грамматика любви”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правила безопасного поведения в ЧС природного характера - с. 174-179 “Безопасность жизнедеятельности”. В.И. Каракеян. М. 2018.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ответить на вопросы: 1.Назвать психические процессы и эмоции у детей до рождения. 2. Внутриутробные факторы детских неврозов. 3. Внеутробные факторы неврозов. 4. Определение невроза. 5. Типичные детские страхи (материалы из книги А.И.Захарова “Ребёнок до рождения”).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“Восприятие и память младенцев” (Р.Немов. Психология II том).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Теоретический материал (№1, №2) и задание (№3, №4, №5, №6) по ссылке: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</w:tbl>
    <w:p w:rsidR="00000000" w:rsidDel="00000000" w:rsidP="00000000" w:rsidRDefault="00000000" w:rsidRPr="00000000" w14:paraId="00000050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3DWZBrXXQID5zDUMQejdbTsjw==">AMUW2mUbVjKXk0qlVf8Ap1AM0rTwpak54Lv3KKa2ZCHL23xSgNyDpzJM5+k/cCY1smUEows4DqQuwfkCEvDKy91xix/1USwn3E3kJThKk2IxDFlJbwhlYt/QQQLjRRTU3gXgNDBfiT9u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