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26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"/>
        <w:gridCol w:w="2655"/>
        <w:gridCol w:w="2040"/>
        <w:gridCol w:w="6255"/>
        <w:gridCol w:w="1821"/>
        <w:tblGridChange w:id="0">
          <w:tblGrid>
            <w:gridCol w:w="255"/>
            <w:gridCol w:w="2655"/>
            <w:gridCol w:w="2040"/>
            <w:gridCol w:w="6255"/>
            <w:gridCol w:w="1821"/>
          </w:tblGrid>
        </w:tblGridChange>
      </w:tblGrid>
      <w:tr>
        <w:trPr>
          <w:trHeight w:val="240" w:hRule="atLeast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29.09.2020 г.</w:t>
            </w:r>
          </w:p>
        </w:tc>
      </w:tr>
      <w:tr>
        <w:trPr>
          <w:trHeight w:val="1035" w:hRule="atLeast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4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“Народная музыкальная культура”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стене две записи.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Выполненную контрольную работу</w:t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прислать личным сообщением преподавателю (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)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highlight w:val="white"/>
                <w:rtl w:val="0"/>
              </w:rPr>
              <w:t xml:space="preserve">до 10.00. 30 сентября 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грамота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Вахромеева ЭТМ. Глава 3, параграф№17-читать,понимать, запомнить и рассказать.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темы: Афинская демократия,Управление в Спарте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gridSpan w:val="4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2.1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 https://vk.com/club103760072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тему:Изменения в политической, социально-экономической жизни общества во  половине 50-х годов. Сделать краткие записи в тетради.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И.А. Бунин, Господин из Сан-Франциско. Последний шмель -учить.</w:t>
            </w:r>
          </w:p>
        </w:tc>
      </w:tr>
      <w:tr>
        <w:trPr>
          <w:trHeight w:val="255" w:hRule="atLeast"/>
        </w:trPr>
        <w:tc>
          <w:tcPr>
            <w:gridSpan w:val="4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параграф 28 (с. 289 - 296) “Действия в ЧС природного характера” (Учебник ОБЖ 10-ый кл. М.П. Фролов. М.2014). 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Ударения в грамматических формах разных частей речи.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А.И.Захаров - влияние перинатального опыта на развитие страхов у детей (“Ребёнок до рождения”, книгу найти в интернете).</w:t>
            </w:r>
          </w:p>
        </w:tc>
      </w:tr>
      <w:tr>
        <w:trPr>
          <w:trHeight w:val="255" w:hRule="atLeast"/>
        </w:trPr>
        <w:tc>
          <w:tcPr>
            <w:gridSpan w:val="4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аргумент-план к тезису “Убедить студентов ходить в колледж в одежде делового стиля”.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4.2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 https://vk.com/club103760072</w:t>
            </w:r>
          </w:p>
        </w:tc>
      </w:tr>
    </w:tbl>
    <w:p w:rsidR="00000000" w:rsidDel="00000000" w:rsidP="00000000" w:rsidRDefault="00000000" w:rsidRPr="00000000" w14:paraId="0000004C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AA0C2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Relationship Id="rId8" Type="http://schemas.openxmlformats.org/officeDocument/2006/relationships/hyperlink" Target="https://vk.com/id2489348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7DmUB8bFLB17sDr6wc+bnqsZyw==">AMUW2mWvUXOw305NGiS5OVpqFpltSHozlH5Vp7D5CGY9fiUAVRW+B4dpnKX7HrjcF8oeaRXj0cagq8OhunWXDO4qImskCSinOFtDUV4R3M3RLmru4hcvSRQ=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2020-03-16T06:19:00Z</dcterms:created>
  <dc:creator>User</dc:creator>
</cp:coreProperties>
</file>