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 На старом кургане",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 На старом кургане",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60 м., 100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препятствий.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 На старом кургане",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лекции "Эстетическая работа в самодеятельном хоре. </w:t>
            </w:r>
          </w:p>
          <w:p w:rsidR="00000000" w:rsidDel="00000000" w:rsidP="00000000" w:rsidRDefault="00000000" w:rsidRPr="00000000" w14:paraId="00000031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Лекция размещена в беседе 3 курс Хороведение в ВК. </w:t>
            </w:r>
          </w:p>
          <w:p w:rsidR="00000000" w:rsidDel="00000000" w:rsidP="00000000" w:rsidRDefault="00000000" w:rsidRPr="00000000" w14:paraId="00000032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Опрос по теме "Методы создания хора. Принципы методики работы с самодеятельным хором".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q4Bgtj86ldWxeuzfwAhSWkILw==">AMUW2mXyCmHlj0aKK7X8GfetLw0/QpHKs4XpekY9xURXgts74muluk8AaR1VegKBQ+qnWlao2oHXtM31rivsA8nUGFg8Z+ZvdboeeB1PchqbvOVqn4quI7A=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