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625"/>
        <w:gridCol w:w="5520"/>
        <w:tblGridChange w:id="0">
          <w:tblGrid>
            <w:gridCol w:w="2970"/>
            <w:gridCol w:w="262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экзамену: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отрабатываем чёткость ритма и смены гармонии. Играть вместе с записью.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2B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1.Закончить конспект о психологии пожилых людей; </w:t>
              <w:br w:type="textWrapping"/>
              <w:t xml:space="preserve">2.Готовиться к экзамену.</w:t>
              <w:br w:type="textWrapping"/>
              <w:t xml:space="preserve">Вопросы к экзамену: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https://cloud.mail.ru/public/jdsZ/3KjYfTfCx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Танец, УП Танец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 зачету: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Полонез как излюбленный танец 19 века его происхождение. Менуэт, Полонез, Бранль, Полька,  Мазурка, Вальс — расставить в порядке исторического возникновения. Используя интернет ресурсы написать (можно в виде реферата)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отрабатываем чёткость ритма и смены гармонии. Играть вместе с записью.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cloud.mail.ru/public/jdsZ/3KjYfTf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AMUW2mU+2/UB31S95sAyV6R9nmfC//wyikx9MUokJyi2ne95gQSfJuRac9dd/BCfF3RxRx8bfB2gtY60CG+L+ewuCyN6YCSQhLuqd2EGPDaRs13mOtKDEII=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