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445"/>
        <w:gridCol w:w="5865"/>
        <w:tblGridChange w:id="0">
          <w:tblGrid>
            <w:gridCol w:w="2535"/>
            <w:gridCol w:w="2445"/>
            <w:gridCol w:w="58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о мелодии — уч-к Вахромеева, гл.11, пар.58-62; 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Писать, играть хром. гамму ми мажор, фа минор; 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Писать, играть, петь хром. ин., хар.ин, тритоны — 5 знаков; 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Писать, играть и петь гарм.оборот из прошлого ДЗ в ми мажоре, фа миноре.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Полоса препятствий.</w:t>
              <w:br w:type="textWrapping"/>
              <w:t xml:space="preserve">Самостоятельно выполнять упражнения: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PUeWt0A0qADoqB/3qRYdlywog==">AMUW2mV8FMQtVVJA1SF8WPnJbuI0A43eJbUbBC3PU1cOY1b3sh7Slh208gMn8VflMqw5Y8dubf0wC5W0oQ2y9fmDXADC3sCqx6UJfKhzDAdH7+PQEbgchnA=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