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экзамену: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yadi.sk/d/1Frqpuzd_U_t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AMUW2mWFkIq/Vuabw46C6AenEnrCd7uwbiBYQ4c8hpKfWaTXiS8qwOY0DtDIounJTypWGYFJlDoX82wCAT9PSQwlFPo75XAxpaPjzuqfCyLYVrDxpE5yyFE=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