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2520"/>
        <w:gridCol w:w="5550"/>
        <w:tblGridChange w:id="0">
          <w:tblGrid>
            <w:gridCol w:w="3135"/>
            <w:gridCol w:w="2520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60 м., 100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дифференцированному зачёту.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вопросов – в общей беседе ВК.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7qAzugv/X9juVq7SxhhnIb8Gg==">AMUW2mXdg7qdxsoc2YXqsxnVlCHhH/O3osq7PosvMVALZKXPLo1LoBzaTUGBXS6ahxoh3NUr1ZK1npKKYkuxz9JgeLthpnMuQQUsqwooTQ3IlsSHEmzi5NE=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