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7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30"/>
        <w:gridCol w:w="5475"/>
        <w:tblGridChange w:id="0">
          <w:tblGrid>
            <w:gridCol w:w="2970"/>
            <w:gridCol w:w="2430"/>
            <w:gridCol w:w="54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четверг, 21.05.2020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Повторение. Подготовка к экзамену. </w:t>
            </w:r>
          </w:p>
          <w:p w:rsidR="00000000" w:rsidDel="00000000" w:rsidP="00000000" w:rsidRDefault="00000000" w:rsidRPr="00000000" w14:paraId="0000001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Тесты № 11-20.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пройденного материала. Подготовка к промежуточной аттестации.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видеоуроки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https://cloud.mail.ru/public/tohx/2Fd3jv49C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Профессиональная деятельность и личность педагога. Написать педагогическое эссе.</w:t>
            </w:r>
          </w:p>
          <w:p w:rsidR="00000000" w:rsidDel="00000000" w:rsidP="00000000" w:rsidRDefault="00000000" w:rsidRPr="00000000" w14:paraId="0000001F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Темы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https://yadi.sk/d/rz1M2Ch6O5Aenw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гр.2.2.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5" w:hRule="atLeast"/>
        </w:trPr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Повторение.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5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Шишкина И.П.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before="0" w:lineRule="auto"/>
              <w:rPr>
                <w:rFonts w:ascii="Arial" w:cs="Arial" w:eastAsia="Arial" w:hAnsi="Arial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sz w:val="23"/>
                <w:szCs w:val="23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Диктант.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Муз.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252-264 (Отечественная музыкальная литература, вып.2). Фото готовых конспектов выслать личным сообщением ВК. 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26.05.</w:t>
            </w:r>
          </w:p>
        </w:tc>
      </w:tr>
    </w:tbl>
    <w:p w:rsidR="00000000" w:rsidDel="00000000" w:rsidP="00000000" w:rsidRDefault="00000000" w:rsidRPr="00000000" w14:paraId="0000003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E3111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club10376007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tohx/2Fd3jv49C" TargetMode="External"/><Relationship Id="rId8" Type="http://schemas.openxmlformats.org/officeDocument/2006/relationships/hyperlink" Target="https://yadi.sk/d/rz1M2Ch6O5Aen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pV26+rHoA5JOAiIsAD7B1tghw==">AMUW2mXxqvb+hS349SD5ZSbh2S0Fphc8swEk0TlklxiwFNf/XhMPXqZcr2G/0j7V7VYMt0RRVBoQsJv5h0Io7qLf7Wpex8POdvnq/uIYE5wscCvopNCQL/o=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