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50"/>
        <w:gridCol w:w="5775"/>
        <w:tblGridChange w:id="0">
          <w:tblGrid>
            <w:gridCol w:w="2970"/>
            <w:gridCol w:w="2250"/>
            <w:gridCol w:w="57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22.05.2020 г.,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Прочесть информацию на стр. 153-154 бригадного учебника «Изложение (выбор аккордов) в начальном построении»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Пользуясь указанными там гармоническими оборотами сочинить, записать в тетради и выучить и сыграть наизусть (прислать мне видеофайл) период с применением всех изученных нами гармоний и оборотов — по возможности. В особенности необходимо применить разные виды доминанты и прерванный оборот с расширением периода. Срок выполнения — 18 мая, понедельник.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Продолжаем решать задачи № 354.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Э. Грига «Пер Гюнт».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22.05 (по аудиозвонку ВК).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Алексеев — Задачи по гармонии от № 151 на стр. 23 и далее.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Там же, стр. 210 — записать нотами цифровки № 16 и 20 — в тональностях ми мажор и фа минор соответственно.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  <w:br w:type="textWrapping"/>
              <w:t xml:space="preserve">Самостоятельно выполнять упражнения: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p4ivynver4q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«Поэме памяти Сергея Есенина» Г. В. Свиридова. 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bookmarkStart w:colFirst="0" w:colLast="0" w:name="_heading=h.huuhgdj99gef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20.05 (по аудиозвонку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зачёту.</w:t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video-171193480_456239736" TargetMode="External"/><Relationship Id="rId9" Type="http://schemas.openxmlformats.org/officeDocument/2006/relationships/hyperlink" Target="https://cloud.mail.ru/public/5Gr1/2qbfaYfK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w7e9/4dA57e2DE" TargetMode="External"/><Relationship Id="rId8" Type="http://schemas.openxmlformats.org/officeDocument/2006/relationships/hyperlink" Target="mailto:nataliavunogradska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F6LfUD3vE642f7i1M9lg0FB7rQ==">AMUW2mV/N+4Y4TKIP+iFd6SO5cXwhkN1/fDeUPxWnbRpuDtXRUIlDtlmBFRCc6ufWIBrlPMQmFCx3IWB2wC5MNVX89gNdKk2C/UwQNhK92Lf8AYWT+dxl7BkeaJYPTIoIkEjPEtyQm3BXY9Oia6VaH7c9U/juPa7Rg==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