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8.2. Культура Франции XIX в. Классицизм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Ж-Л Давид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47, 58, 63.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аккордовые последовательности  №81 – 83.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Дописать диктанты № 36, 50, 40.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Профессиональная деятельность и личность педагога.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Лекционный материал: тема № 14, 16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https://yadi.sk/d/ccnFdD9pG_FeGQ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Профессионально-педагогическая культура учителя.</w:t>
              <w:br w:type="textWrapping"/>
              <w:t xml:space="preserve">Стили деятельности учителя (конспект).</w:t>
              <w:br w:type="textWrapping"/>
              <w:t xml:space="preserve">Стили взаимодействия преподавателя и обучающегося (конспект). Конспект отправить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91" w:hRule="atLeast"/>
        </w:trP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 — задачи № 327 и далее (стр. 51).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 — цифровки № 13 и 14 записать в тональностях Des-dur и gis-moll соответственно (стр. 221).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Сочинить и записать в тетради период с отклонениями в родственные тональности.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Срок сдачи – до 19.05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Интонационно- выразительные особенности произведений малой формы в средних классах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d/FGjkJz6NPqW28w" TargetMode="External"/><Relationship Id="rId10" Type="http://schemas.openxmlformats.org/officeDocument/2006/relationships/hyperlink" Target="mailto:irina-metzger@yandex.ru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yadi.sk/d/ccnFdD9pG_FeG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8Pa0oHzbx0R+8E6d7zS8pGZIQ==">AMUW2mX2YP4mk7csAN2lOM/sJHZh+wse6Ph2LaT57qkbCjWrYQGSLR4YPFLfhuPWjCLzoTvK3WU20yV2nq3leeB4HRHzQSFFypDgp7MkNWN0wOMxbaWvYiCc7lC8RviSVpWRmKadaWq7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