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Что такое защита отечества? Найти статью в Конституции РФ. </w:t>
              <w:br w:type="textWrapping"/>
              <w:t xml:space="preserve">2. Необходимость вооруженной защиты. </w:t>
              <w:br w:type="textWrapping"/>
              <w:t xml:space="preserve">3. Какими качествами должен обладать воин в Вооруженных силах РФ.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18.05.2020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гр.1.4.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1.Конспект по теме: «Нар. песни в русской кл. музыке» (раздел 12 в Хрестоматии по нар. творчеству); 2.Повторить свадебные песни и былины (по две);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 тв-во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1.Конспект по теме: «Нар. песни в русской кл. музыке» (раздел 12 в Хрестоматии по нар. творчеству); 2.Повторить свадебные песни и былины (по две);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Просмотр Видео и письменно ответить на вопросы (в группе VK)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Ответы прислать к 15 мая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ранее указанных сайтах. Повторять всё пройденное.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Способин: повторить номера, пройденные во втором семестре + № 46-53.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О.С.Ш.: первый раздел (Хроматизмы), второй раздел (Модуляция в первую степень) №1-10.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Первый раздел (Диатоника)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 Грига.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сюите «Пер Гюнт»: №№ 155, 156, 158, 159, 161, 162, 164 (МЛЗС вып.5). Видеозапись с темами выслать личным сообщением ВК. </w:t>
            </w:r>
          </w:p>
          <w:p w:rsidR="00000000" w:rsidDel="00000000" w:rsidP="00000000" w:rsidRDefault="00000000" w:rsidRPr="00000000" w14:paraId="0000003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– до 15.05.</w:t>
            </w:r>
          </w:p>
        </w:tc>
      </w:tr>
      <w:tr>
        <w:trPr>
          <w:trHeight w:val="2175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изложите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  <w:t xml:space="preserve">Музей современного искусства. Москва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«Винзавод»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«Гараж».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  <w:br w:type="textWrapping"/>
              <w:t xml:space="preserve">Музей современного искусства «Эрата» Петербург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а) Задачи № 342 и игра проходящего оборота с VII6 (достаточно двух).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Играть период с использованием разных форм доминантовых аккордов.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В произведениях Шопена найти примеры доминанты с секстой.</w:t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Бригадный — читать тему 24 б и в.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Задачи № 354 (достаточно двух-пяти).</w:t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Просмотреть Видео-уроки и письменно ответить на вопросы (в группе VK)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Ответы прислать к 15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 "Локальные и глобальные компьютерные сети". Составить таблицу: "Основные сходства и различия локальных и глобальных компьютерных сетей",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005bd1"/>
                  <w:sz w:val="23"/>
                  <w:szCs w:val="23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Повторять всё пройденное. Игра и пение модуляций во всех тональностях (все виды).</w:t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все разделы главы «Модуляция».</w:t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Блюм: все разделы, начиная с модуляции в первую степень.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100 – 112.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вып.IV, Качалина вып.I.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tcmpro213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 романса.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wgjzutmgoa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«Поэме памяти Сергея Есенина» Г. Свиридова: №№ 56, 57, 58а, 62а. Видеозапись с темами выслать личным сообщением ВК. </w:t>
            </w:r>
          </w:p>
          <w:p w:rsidR="00000000" w:rsidDel="00000000" w:rsidP="00000000" w:rsidRDefault="00000000" w:rsidRPr="00000000" w14:paraId="0000005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Гармония*** (за 9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Задачи из сб. Подготовка к поступлению…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Подготовить и рассказать один из вопросов ГИА (с примерами наизусть).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Анализ: Григ. Концерт для фно — 1 часть ПП.</w:t>
            </w:r>
          </w:p>
          <w:p w:rsidR="00000000" w:rsidDel="00000000" w:rsidP="00000000" w:rsidRDefault="00000000" w:rsidRPr="00000000" w14:paraId="0000006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10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13" Type="http://schemas.openxmlformats.org/officeDocument/2006/relationships/hyperlink" Target="http://vk.com/kebragrad" TargetMode="External"/><Relationship Id="rId12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15" Type="http://schemas.openxmlformats.org/officeDocument/2006/relationships/hyperlink" Target="https://yadi.sk/d/FGjkJz6NPqW28w" TargetMode="External"/><Relationship Id="rId14" Type="http://schemas.openxmlformats.org/officeDocument/2006/relationships/hyperlink" Target="http://vk.com/kebragr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ZaHro9HVUNS3hFShn/+nU9XPQ==">AMUW2mW5c5bOE3YohwFMHzqZnS6Zw1yDWY73LZs4hYiGIfXYuXTVKL0pbZH/rWLMaqod31/QsH7yNN2W/vJwXF7+k+4kfKr1uaJl8XmFKyZT7hy1J3/TtR48ABo1PJzo3xj82jpXA9OmAnvxVs1dlQBsvsRyFDVnfwdF4x1QsPgZ5zYTHZd09vejQAoqSxiFQxQQ/6ymRJ7rkGDfQofdWAvaMjo3whYr845hP/BG0zfZ/RCiOiOY7y8FlG7BLtOgvX/YIxolqoJZ8JUbesYLS6gWPzkmw9WY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