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"Модуляция". 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Вахромеев. "Элементарная теория музыки".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Устные упражнения. Примеры 1-10.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 Вахромеев. "Элементарная теория музыки" ( файл PDF).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after="0" w:before="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История собирательства русских народных песен. Задания выполнять по уроку в беседе «НМК понедельник 14.15» Вконтакте </w:t>
            </w: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7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гр.** (за 5 мая)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период с Д9.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тему 24 в бригадном учебнике — раздел о VII6. 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№ 342 и игра проходящего оборота с VII6.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Цифровки: Алексеев стр. 211 Доминантовый нонаккорд — № 1 и 2.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период с Д9.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тему 24 в бригадном учебнике — раздел о VII6. </w:t>
            </w:r>
          </w:p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№ 342 и игра проходящего оборота с VII6. 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Цифровки: Алексеев стр. 211 Доминантовый нонаккорд — № 1 и 2.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Отечественная культура XXI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Прочитать лекции с шестой по восьмую: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Задания: </w:t>
              <w:br w:type="textWrapping"/>
              <w:t xml:space="preserve">Письменно перечислить основные направления в современном искусстве. </w:t>
              <w:br w:type="textWrapping"/>
              <w:t xml:space="preserve">Дать определение понятиям: соц –арт, инсталляции, концептуальное искусство и др. виртуальное искусство, боди-арт, стрит-арт.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 планирования, виды планирования в процессе  профессионального обучения.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Работа с литературой: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4"/>
                <w:szCs w:val="24"/>
                <w:highlight w:val="white"/>
                <w:rtl w:val="0"/>
              </w:rPr>
              <w:t xml:space="preserve"> На основе анализа изученной литературы составьте таблицу - «Основные виды планирования»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(материал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283, 288.</w:t>
            </w:r>
          </w:p>
          <w:p w:rsidR="00000000" w:rsidDel="00000000" w:rsidP="00000000" w:rsidRDefault="00000000" w:rsidRPr="00000000" w14:paraId="0000004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41 (четырёхголосие)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https://yadi.sk/d/kjp3QNl2vnQiAA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207, 208.</w:t>
            </w:r>
          </w:p>
          <w:p w:rsidR="00000000" w:rsidDel="00000000" w:rsidP="00000000" w:rsidRDefault="00000000" w:rsidRPr="00000000" w14:paraId="0000005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двухголосный до минор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(фото и аудиофайл в беседе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Решить задачу (фото в беседе ВК).</w:t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Период Си бемоль мажор – ре минор.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6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Внимательно изучить материал "Интонационная природа музыки" в книге В.Н.Холоповой "Музыка как вид искусства" в Облаке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https://cloud.mail.ru/public/CJqN/RirbuYn3t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Сделать конспект (стр.57-73). 3)Предоставить конспект преподавателю для проверки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предоставленных Вами работ - до 10 мая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rzamas.academy/materials/1208" TargetMode="External"/><Relationship Id="rId10" Type="http://schemas.openxmlformats.org/officeDocument/2006/relationships/hyperlink" Target="https://arzamas.academy/materials/1207" TargetMode="External"/><Relationship Id="rId13" Type="http://schemas.openxmlformats.org/officeDocument/2006/relationships/hyperlink" Target="http://ed.gov.ru/" TargetMode="External"/><Relationship Id="rId12" Type="http://schemas.openxmlformats.org/officeDocument/2006/relationships/hyperlink" Target="http://ed.gov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zamas.academy/materials/1206" TargetMode="External"/><Relationship Id="rId15" Type="http://schemas.openxmlformats.org/officeDocument/2006/relationships/hyperlink" Target="https://yadi.sk/d/kjp3QNl2vnQiAA" TargetMode="External"/><Relationship Id="rId14" Type="http://schemas.openxmlformats.org/officeDocument/2006/relationships/hyperlink" Target="https://yadi.sk/d/1Frqpuzd_U_tuQ" TargetMode="External"/><Relationship Id="rId17" Type="http://schemas.openxmlformats.org/officeDocument/2006/relationships/hyperlink" Target="https://vk.com/away.php?to=https%3A%2F%2Fcloud.mail.ru%2Fpublic%2FCJqN%2FRirbuYn3t&amp;cc_key=" TargetMode="External"/><Relationship Id="rId16" Type="http://schemas.openxmlformats.org/officeDocument/2006/relationships/hyperlink" Target="https://vk.com/away.php?to=http%3A%2F%2FMail.ru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96js/3jLSDAHh7" TargetMode="External"/><Relationship Id="rId8" Type="http://schemas.openxmlformats.org/officeDocument/2006/relationships/hyperlink" Target="https://vk.me/join/AJQ1d2A5VhfzcsB5Amw6VH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Y/CMOMeg0HAAzmRcAKHhcbAgQ==">AMUW2mVve3cIMn0hPCVxO1Fza/Ljl3uxwxubIKWhXRteEW0kTdFN7H2e4KJnQs7ct8s2wvjKmd9vrQbt1h0IVRSMVCgc5u8bRn129RFZ6WAzMvIMiavNAb4FSML/Sq0FTMyp2wV+SZm3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