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Тема:. «Культура Англии XVIII в.»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bffpc1wsek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Ильина стр. 200-207 </w:t>
              <w:br w:type="textWrapping"/>
              <w:t xml:space="preserve">Задание: </w:t>
              <w:br w:type="textWrapping"/>
              <w:t xml:space="preserve">· Изучить материал по данной теме. </w:t>
              <w:br w:type="textWrapping"/>
              <w:t xml:space="preserve">· Составить синхронистическую таблицу по теме «Культура Англии XVIII в.»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471, 472 (двухголосие)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Четыр  е одноголосных примера (фото в беседе ВК).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Дописать диктанты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Работа над ошибками по темам: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Современные педагогические технологии. Учебная документация, ее назначение и способы ведения.</w:t>
              <w:br w:type="textWrapping"/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Методические разработки Мецгер И.И.: «Современный урок в ДМШ и ДШИ»: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«Новые образовательные технологии»: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Контрольная работа: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Произведения малой формы. Кантилена.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191" w:hRule="atLeast"/>
        </w:trPr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— Чайковский Времена года. Охота — начало, Жатва — средняя часть. Найти хроматические секвенции и отклонения и разобраться, как они выполнены.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Продолжаем решать задачи № 500.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цифровки по Алексееву — стр. 219-221 (Побочные субдоминанты и доминанты).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Соловьева — тема 18 полностью.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241-249 (РМЛ вып.3). Фото готовых конспектов выслать личным сообщением ВК. Срок сдачи – до 02.05.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темам апреля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vRqyCBQ1PcycdA" TargetMode="External"/><Relationship Id="rId10" Type="http://schemas.openxmlformats.org/officeDocument/2006/relationships/hyperlink" Target="https://yadi.sk/d/8W0OnMyzL9H7FA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yadi.sk/d/KVyedMdbKgvmm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0CmqnJrmFrqtAw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yadi.sk/d/Jiq65ttP6oO6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Jei/3atUyvRYR" TargetMode="External"/><Relationship Id="rId8" Type="http://schemas.openxmlformats.org/officeDocument/2006/relationships/hyperlink" Target="https://yadi.sk/d/YG0SaJ1DzHm1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hmNqWZbtC2jrnABbEKa8NF00Ow==">AMUW2mUElwLzCFPUH+G1cWRY+efifasf8IUp4Y8LKdDx/zY1K9a3kR+1rwlP3PvtfqoTsUENya59gy+Cfg9hoXRW24kHZ0Be2+xJJCydV9lBRA5G6SxA2McvTfBAfz3+opLRO+jwHUW4iFlQ6vfUz7gV53x5hHK0sfC0ewHcSi0TIwwGACuNuyQ=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