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28.04.2020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Осн.нар хореографии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 хореогр.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«Одиннадцать регионов России, их названия.Области в них входящие.Областные особенности народного танца Белгородской области (основные положения рук, корпуса, характер исполнения)». К самостоятельному изучению, используя интернет ресурсы и материалы выкладываемые в «беседе».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Одноголосие-376-380, Двухголосие- 24. Построить, играть, петь ум.VII7,65,43,2 с разрешением в 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Главные  Септаккорды лада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До мажоре и ля миноре (гарм.) написать септаккорд седьмой ступени с обращениями .Играть и петь всё  №№Остр.140—142.Там же на странице 70 определить гармонические интервалы.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Гайдн. Оратория "Времена года". №№ 1, 2, 4, 17, 26, 28, 29, 34, 36. Учебный материал: лекционный аудиофайл и нотные файлы PDF в групповой рассылке по электронной почте.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жизни*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Категория граждан наиболее склонных к террористическому акту.</w:t>
              <w:br w:type="textWrapping"/>
              <w:t xml:space="preserve">2. Внешние признаки террориста.</w:t>
              <w:br w:type="textWrapping"/>
              <w:t xml:space="preserve">3. Способы совершения террористического акта.</w:t>
              <w:br w:type="textWrapping"/>
              <w:t xml:space="preserve">4. Порядок приема и передачи сообщения при угрозе террористического акта.</w:t>
              <w:br w:type="textWrapping"/>
              <w:t xml:space="preserve">5. 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Учебное пособие по ОБЖ, под редакцией М.П. Фролов, В.П. Шолох, М.В. Юрьев, Б.И. Мишин.</w:t>
              <w:br w:type="textWrapping"/>
              <w:t xml:space="preserve">Срок выполнения: до 2.05.2020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   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 Одиннадцать регионов России, их названия.Области в них входящие.Областные особенности народного танца Белгородской области (основные положения рук, корпуса, характер исполнения)». К самостоятельному изучению, используя интернет ресурсы и материалы выкладываемые в «беседе».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«Культура в послевоенные годы»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стр.342-354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указанные страницы учебника.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1945-1970 гг.»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Инд.гармония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 в личных сообщениях в ВК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 Самостоятельно выполнять комплекс упражнений: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</w:t>
            </w:r>
          </w:p>
          <w:p w:rsidR="00000000" w:rsidDel="00000000" w:rsidP="00000000" w:rsidRDefault="00000000" w:rsidRPr="00000000" w14:paraId="00000041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хореографии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«Одиннадцать регионов России, их названия.Области в них входящие.Областные особенности народного танца Белгородской области (основные положения рук, корпуса, характер исполнения)». К самостоятельному изучению, используя интернет ресурсы и материалы выкладываемые в «беседе».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232-241 (РМЛ вып.3). Фото готовых конспектов выслать личным сообщением ВК. Срок сдачи – до 30.04.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хоровых дисциплин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анализа народно-песенного материала ( 1 час); Методы редактирования народных песен в процессе подготовки к работе ( 2 час).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 нар хореографии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«Одиннадцать регионов России, их названия.Области в них входящие.Областные особенности народного танца Белгородской области (основные положения рук, корпуса, характер исполнения)». К самостоятельному изучению, используя интернет ресурсы и материалы выкладываемые в «беседе».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тв.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занятие. Смотры и конкурсы, как средство уровня достижений вокального мастерства.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Биография П. Игнатова, анализ тематики песенного творчества, поэтического текста, определение диапазонов, тесситуры, музыкально- выразительных средств.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1.Закончить конспект по творчеству Свиридова; 2.Слушать его «Поэму памяти С.Есенина; 3.Готовиться к экзамену.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-7143711_456239050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Uze/3kcPKpB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fileskachat.com/view/37988_3f8935982c29f7f4ee5faf1b17b0ae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Q5PW3XKtSNQB1yR27ckLrRhtg==">AMUW2mWclT9XjM0+z/I2uBnvbeTM2sSVdM8/YYrXGBuNSxbDan7MDr6JoN9Y2ykspsaADUfaCw/B4OuX8tFPuvikTvuHe/AepKvfP187XFXcyFSLV+/Af20k8HwhwM8dtfxtQHwWAtzD2FeaqGz8cc8JBkPcCOslGikQt4pttlB2+z5Ev5zhWhBzm7E+PfmBW+Q0WjRjlxENEXIUfOt5k5HMj2TqEuZS179ojGiDgMPYtpZZrz7uh/Y=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