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010"/>
        <w:gridCol w:w="3945"/>
        <w:tblGridChange w:id="0">
          <w:tblGrid>
            <w:gridCol w:w="2127"/>
            <w:gridCol w:w="2977"/>
            <w:gridCol w:w="2010"/>
            <w:gridCol w:w="39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  <w:p w:rsidR="00000000" w:rsidDel="00000000" w:rsidP="00000000" w:rsidRDefault="00000000" w:rsidRPr="00000000" w14:paraId="0000003E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трывков оперетты И. Кальмана «Принцесса цирка» и мюзикла Ф.Лоу «Моя прекрасная леди». Для самостоятельного чтения вслух использовать карандаш.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Отрепетировать музыкальные номера под «минуса».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 подготовка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трывков оперетты И. Кальмана «Принцесса цирка» и мюзикла Ф.Лоу «Моя прекрасная леди». Для самостоятельного чтения вслух использовать карандаш.</w:t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Отрепетировать музыкальные номера под «минуса».</w:t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4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состоится в онлайн-режиме, согласно расписания, в 14.15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платформе Zoom.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tcBorders>
              <w:bottom w:color="777777" w:space="0" w:sz="8" w:val="single"/>
            </w:tcBorders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xm06e4uv3p7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трывков оперетты И. Штрауса «Летучая мышь». Для самостоятельного чтения вслух использовать карандаш.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xm06e4uv3p7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Отрепетировать музыкальные номера под «минуса».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m06e4uv3p7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m06e4uv3p7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right w:color="777777" w:space="0" w:sz="8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классической хрии.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ST6p/2nZYtUL8s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57sw/5cNjQcuX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d2J/4nDkhnMzM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57sw/5cNjQcuXV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219G/w1q4JTe3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b86sVZ5XNp7ps8RLGU5sKa5HA==">AMUW2mU8emC5P6rPl5yvZOOdKs7W6V/IsnHOeV9tOsCusqg9w+XmfqNRJlheZjs3bHGk3zcZlB6+G6lqm2T0ZpnsJCUujdIthGamk6WoFIk48nTV7sIB9l4kL7M/LnkTZAwi6zTCDJ3BVEpWGk5N5gu7IIvaQTb6czfudCOizAgb9OiF3XVf6DbYXCXkdvi0QgEnOIOFdKQS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