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1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90"/>
        <w:gridCol w:w="1995"/>
        <w:gridCol w:w="5580"/>
        <w:tblGridChange w:id="0">
          <w:tblGrid>
            <w:gridCol w:w="1296"/>
            <w:gridCol w:w="2190"/>
            <w:gridCol w:w="1995"/>
            <w:gridCol w:w="55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№343—345.В тональностях петь тритоны с разрешением, аккорды.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Металлиди №105 и 106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№ 24: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(выбираем Одноголосные диктанты. Аудиозапись – в открывшемся аудиофайле идём в меню и находим 29-й диктант).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тональности ми-бемоль мажор петь все тритоны и характерные интервал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rPr>
          <w:trHeight w:val="39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вып.2 №126;  Упражнения на стр. 82, 83.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Ритмические упражнения (Русяева стр.12 раздел 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темы: «Виды исполнительского дыхания, методы его развития». Составление конспектов.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Духовые инструменты в Культуре Европы конца 15-16 вв (Левин, Стр 84-90) и культуре Венеции (стр 90-94), особо обратить внимание на ансамблевое исполнительство и творчество Джованни Габриели.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https://yadi.sk/i/0jtZQPxyhQ5-NQ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Записать и играть в Фа мажоре: Т3-Т2-S3-II43-DD43- К64-Д7-Т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 "расцвет исполнительства на духовых и ударных инструментах" необходимо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биографию одного из ведущих исполнителей (лауреатов всесоюзных или международных конкурсов) или педагогов ведущих консерваторий. Например: Докшицер, Блажевич, Розанов, Диков и тд.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5 Д. Д. Шостаковича. Срок сдачи викторины – до 17.04 (по аудиозвонку ВК)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ermolenko.ru/2012/02/bazy-danny-h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solfedzhio-audiokurs-.html" TargetMode="External"/><Relationship Id="rId8" Type="http://schemas.openxmlformats.org/officeDocument/2006/relationships/hyperlink" Target="https://yadi.sk/i/0jtZQPxyhQ5-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s+RKjYppGhVJXP+zHEmPfxvfQ==">AMUW2mV3u+RifS6dUHP6Qlz/Z6/zQ5uJynuEmTD8Lg9gUOlOckzys/ZlhS9GyHXf1W2pvYLzxaoqLpDwLN3HnlrSWtVamGdTqc4rtR5rjweS4u7BagpzEJx8FGH6jZyZP2EGtAOPP4QgcsG2P4uG7h2A/dyjFdNYY4wpJboVJtCfvIeR7rUt029InxSG6lVfKMbGbIgmRuCB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