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4"/>
        <w:gridCol w:w="2101"/>
        <w:gridCol w:w="1725"/>
        <w:gridCol w:w="5745"/>
        <w:tblGridChange w:id="0">
          <w:tblGrid>
            <w:gridCol w:w="1624"/>
            <w:gridCol w:w="2101"/>
            <w:gridCol w:w="1725"/>
            <w:gridCol w:w="574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Осн.безоп.жизн-ти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«Обучение населения. Ядерное оружие».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Вопросы: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Что такое ядерное оружие? Его опасность?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Поражающие факторы ядерного взрыва.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0" w:before="0" w:line="240" w:lineRule="auto"/>
              <w:ind w:left="80" w:hanging="40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0" w:before="0" w:line="240" w:lineRule="auto"/>
              <w:ind w:left="80" w:hanging="40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2.   Учебное пособие по ОБЖ, под редакцией М.П. Фролов, В.П. Шолох, М.В. Юрьев, Б.И. Мишин.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20.04.2020 г.,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гр.1.4.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муз. культура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песню № 132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вопросы:</w:t>
            </w:r>
          </w:p>
          <w:p w:rsidR="00000000" w:rsidDel="00000000" w:rsidP="00000000" w:rsidRDefault="00000000" w:rsidRPr="00000000" w14:paraId="00000024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содержание революционных песен</w:t>
            </w:r>
          </w:p>
          <w:p w:rsidR="00000000" w:rsidDel="00000000" w:rsidP="00000000" w:rsidRDefault="00000000" w:rsidRPr="00000000" w14:paraId="00000025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особенности напевов революционных песен</w:t>
            </w:r>
          </w:p>
          <w:p w:rsidR="00000000" w:rsidDel="00000000" w:rsidP="00000000" w:rsidRDefault="00000000" w:rsidRPr="00000000" w14:paraId="00000026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структура революционных песен</w:t>
            </w:r>
          </w:p>
          <w:p w:rsidR="00000000" w:rsidDel="00000000" w:rsidP="00000000" w:rsidRDefault="00000000" w:rsidRPr="00000000" w14:paraId="00000027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какие революционные песни и в каких композиторских произведениях они звучат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Народное муз тв-во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Конспект о современных народных песнях ( песни xx в., Хрестоматия)</w:t>
            </w:r>
          </w:p>
          <w:p w:rsidR="00000000" w:rsidDel="00000000" w:rsidP="00000000" w:rsidRDefault="00000000" w:rsidRPr="00000000" w14:paraId="0000002C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Выучить наизусть песни №126,128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2ч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Законспектировать теоретический материал Второго раздела «Гимнастические комплексы. Построения и перестроения» и ответить на вопросы в конце раздела. Учебник И.Лифиц «Ритмика» </w:t>
            </w:r>
            <w:hyperlink r:id="rId9">
              <w:r w:rsidDel="00000000" w:rsidR="00000000" w:rsidRPr="00000000">
                <w:rPr>
                  <w:color w:val="005bd1"/>
                  <w:sz w:val="24"/>
                  <w:szCs w:val="24"/>
                  <w:highlight w:val="white"/>
                  <w:u w:val="single"/>
                  <w:rtl w:val="0"/>
                </w:rPr>
                <w:t xml:space="preserve">http://booksee.org/book/1351689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Фригийский оборот (Бригадный учебник тема 25,</w:t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Абызовой тема 25)</w:t>
            </w:r>
          </w:p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Глава «Фригийский оборот» (129-145)</w:t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52,53.</w:t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340-356.</w:t>
            </w:r>
          </w:p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Романсы Грига «Весна», «Избушка»</w:t>
            </w:r>
          </w:p>
          <w:p w:rsidR="00000000" w:rsidDel="00000000" w:rsidP="00000000" w:rsidRDefault="00000000" w:rsidRPr="00000000" w14:paraId="0000004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стр. 74-108 «Жизненный и творческий путь Ж. Бизе» (МЛЗС вып. 5)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61.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: Отечественная  культура 20-х  годов.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spacing w:after="0" w:before="0" w:line="261.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 «История искусств» стр. 296-313</w:t>
            </w:r>
          </w:p>
          <w:p w:rsidR="00000000" w:rsidDel="00000000" w:rsidP="00000000" w:rsidRDefault="00000000" w:rsidRPr="00000000" w14:paraId="0000004A">
            <w:pPr>
              <w:spacing w:after="0" w:before="0" w:line="261.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after="0" w:before="0" w:line="261.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статью</w:t>
            </w:r>
          </w:p>
          <w:p w:rsidR="00000000" w:rsidDel="00000000" w:rsidP="00000000" w:rsidRDefault="00000000" w:rsidRPr="00000000" w14:paraId="0000004C">
            <w:pPr>
              <w:spacing w:after="0" w:before="0" w:line="261.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https://arzamas.academy/materials/1203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5"/>
              </w:numPr>
              <w:spacing w:after="0" w:before="0" w:line="261.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основные художественные объединения 20-х годов.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5"/>
              </w:numPr>
              <w:spacing w:after="0" w:before="0" w:line="261.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имена мастеров искусств  и их произведения.</w:t>
            </w:r>
          </w:p>
          <w:p w:rsidR="00000000" w:rsidDel="00000000" w:rsidP="00000000" w:rsidRDefault="00000000" w:rsidRPr="00000000" w14:paraId="0000004F">
            <w:pPr>
              <w:spacing w:after="0" w:before="0" w:line="261.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Франции XVIII в.</w:t>
            </w:r>
          </w:p>
          <w:p w:rsidR="00000000" w:rsidDel="00000000" w:rsidP="00000000" w:rsidRDefault="00000000" w:rsidRPr="00000000" w14:paraId="00000050">
            <w:pPr>
              <w:spacing w:after="0" w:before="0" w:line="261.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стр. 189-200</w:t>
            </w:r>
          </w:p>
          <w:p w:rsidR="00000000" w:rsidDel="00000000" w:rsidP="00000000" w:rsidRDefault="00000000" w:rsidRPr="00000000" w14:paraId="00000051">
            <w:pPr>
              <w:spacing w:after="0" w:before="0" w:line="261.6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6"/>
              </w:numPr>
              <w:spacing w:after="0" w:before="0" w:line="261.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Статья в сайте</w:t>
            </w:r>
          </w:p>
          <w:p w:rsidR="00000000" w:rsidDel="00000000" w:rsidP="00000000" w:rsidRDefault="00000000" w:rsidRPr="00000000" w14:paraId="00000053">
            <w:pPr>
              <w:spacing w:after="0" w:before="0" w:line="261.6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https://studme.org/151008274368/kulturologiya/frantsuzskoe_iskusstvo_xviii_veka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spacing w:after="0" w:before="0" w:line="261.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Смотрите материалы Интернете.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spacing w:after="0" w:before="0" w:line="261.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конспект. Выписать: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spacing w:after="0" w:before="0" w:line="261.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стиля рококо.  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spacing w:after="0" w:before="0" w:line="261.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Отражение просветительских идей в искусстве. (Вольтер. Руссо. Шарден, Грез).</w:t>
            </w:r>
          </w:p>
          <w:p w:rsidR="00000000" w:rsidDel="00000000" w:rsidP="00000000" w:rsidRDefault="00000000" w:rsidRPr="00000000" w14:paraId="00000058">
            <w:pPr>
              <w:spacing w:after="0" w:before="0" w:line="261.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классицизма. Классицизм в архитектуре и скульптуре. (Площадь Согласия. Трианон в Версале. Пантеон. Скульптуры Фальконе, Гудона) </w:t>
            </w:r>
          </w:p>
        </w:tc>
      </w:tr>
      <w:tr>
        <w:trPr>
          <w:trHeight w:val="3525" w:hRule="atLeast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hd w:fill="ffffff" w:val="clear"/>
              <w:spacing w:after="220" w:before="22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  <w:rtl w:val="0"/>
              </w:rPr>
              <w:t xml:space="preserve">а) Анализ Бетховен Соната № 15 — 2 часть.</w:t>
              <w:br w:type="textWrapping"/>
              <w:t xml:space="preserve">б) Задачи из бригадного № 294 — кто начал решать, продолжает, кто не начал, начинает.</w:t>
              <w:br w:type="textWrapping"/>
              <w:t xml:space="preserve">в) Играть разрешение II7 всеми возможными способами, в том числе проходящие и вспомогательный обороты, каденции — в тональностях с 4 знаками.</w:t>
              <w:br w:type="textWrapping"/>
              <w:t xml:space="preserve">г) Сочиняем и играем наизусть период с аккордами II ступени.</w:t>
              <w:br w:type="textWrapping"/>
              <w:t xml:space="preserve">д) Читаем главу про вводный септаккорд — Тема 22 на стр. 130. Готовим вопросы про то, что непонятно было.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История возникновения танца «Гавот», особенности ритма, размера и движений танца. Использовать интернет-ресурсы. Задание оформить письменно.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Лабораторная работа №2 “Работа с таблицами”</w:t>
            </w:r>
          </w:p>
          <w:p w:rsidR="00000000" w:rsidDel="00000000" w:rsidP="00000000" w:rsidRDefault="00000000" w:rsidRPr="00000000" w14:paraId="0000006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fkvetd36ztl" w:id="1"/>
            <w:bookmarkEnd w:id="1"/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http://aermolenko.ru/2012/02/bazy-danny-h/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https://yadi.sk/d/FaxZrk1ZS2jjCg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9pqml1why2iy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Игра и пение аккордов, интервалов, ладов. Все виды модуляций.</w:t>
            </w:r>
          </w:p>
          <w:p w:rsidR="00000000" w:rsidDel="00000000" w:rsidP="00000000" w:rsidRDefault="00000000" w:rsidRPr="00000000" w14:paraId="0000007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9pqml1why2iy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вып.4 Глава «Преодоление ладовой инерции» (Сольфеджирование)</w:t>
            </w:r>
          </w:p>
          <w:p w:rsidR="00000000" w:rsidDel="00000000" w:rsidP="00000000" w:rsidRDefault="00000000" w:rsidRPr="00000000" w14:paraId="0000007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9pqml1why2iy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108-110. Блюм № 260.</w:t>
            </w:r>
          </w:p>
          <w:p w:rsidR="00000000" w:rsidDel="00000000" w:rsidP="00000000" w:rsidRDefault="00000000" w:rsidRPr="00000000" w14:paraId="0000007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9pqml1why2iy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Шостакович «Из еврейской народной поэзии» № 2, № 3.</w:t>
            </w:r>
          </w:p>
          <w:p w:rsidR="00000000" w:rsidDel="00000000" w:rsidP="00000000" w:rsidRDefault="00000000" w:rsidRPr="00000000" w14:paraId="00000079">
            <w:pPr>
              <w:ind w:left="0" w:firstLine="0"/>
              <w:rPr>
                <w:sz w:val="24"/>
                <w:szCs w:val="24"/>
              </w:rPr>
            </w:pPr>
            <w:bookmarkStart w:colFirst="0" w:colLast="0" w:name="_heading=h.5mte0seduxwz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стр. 259-486 (РМЛ вып.5)</w:t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 (для Анастасии Любименко)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Ветошкина Т.В.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Внимательно изучить видео-материал "Специальное и неспециальное содержание" (части 1-2); сделать конспект; ознакомиться с учебным пособием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highlight w:val="white"/>
                  <w:rtl w:val="0"/>
                </w:rPr>
                <w:t xml:space="preserve">http://arskomi.ru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highlight w:val="white"/>
                  <w:rtl w:val="0"/>
                </w:rPr>
                <w:t xml:space="preserve">/18626.html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(стр.12) Подготовить АНАЛИТИЧЕСКУЮ работу по "Специальному содержанию" на примере одного из произведений гос.экзаменационной программы, либо произведения, предложенного в уч. пособии (стр.12)</w:t>
            </w:r>
          </w:p>
          <w:p w:rsidR="00000000" w:rsidDel="00000000" w:rsidP="00000000" w:rsidRDefault="00000000" w:rsidRPr="00000000" w14:paraId="00000083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Срок предоставленной работы - до 19 апреля.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85B2E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C12FF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rzamas.academy/materials/1203" TargetMode="External"/><Relationship Id="rId10" Type="http://schemas.openxmlformats.org/officeDocument/2006/relationships/hyperlink" Target="https://fileskachat.com/view/37988_3f8935982c29f7f4ee5faf1b17b0ae05.html" TargetMode="External"/><Relationship Id="rId13" Type="http://schemas.openxmlformats.org/officeDocument/2006/relationships/hyperlink" Target="https://studme.org/151008274368/kulturologiya/frantsuzskoe_iskusstvo_xviii_veka" TargetMode="External"/><Relationship Id="rId12" Type="http://schemas.openxmlformats.org/officeDocument/2006/relationships/hyperlink" Target="https://docplayer.ru/26414423-T-v-ilina-istoriya-iskusstv-zapadnoevropeyskoe-iskusstvo-izdanie-trete-pererabotannoe-i-dopolnennoe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booksee.org/book/1351689" TargetMode="External"/><Relationship Id="rId15" Type="http://schemas.openxmlformats.org/officeDocument/2006/relationships/hyperlink" Target="https://yadi.sk/d/FaxZrk1ZS2jjCg" TargetMode="External"/><Relationship Id="rId14" Type="http://schemas.openxmlformats.org/officeDocument/2006/relationships/hyperlink" Target="http://aermolenko.ru/2012/02/bazy-danny-h/" TargetMode="External"/><Relationship Id="rId17" Type="http://schemas.openxmlformats.org/officeDocument/2006/relationships/hyperlink" Target="https://vk.com/away.php?to=http%3A%2F%2Farskomi.ru%2F18626.html&amp;cc_key=" TargetMode="External"/><Relationship Id="rId16" Type="http://schemas.openxmlformats.org/officeDocument/2006/relationships/hyperlink" Target="https://vk.com/away.php?to=http%3A%2F%2Farskomi.ru%2F18626.html&amp;cc_key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Cs615+LcefgUVZtZai4q536ecg==">AMUW2mVvWXhNYAWNJ4hV0TzYRhz290hjG9VXPpjquDKKaLz9jLGfOVAF2cZmsO/4gq3Fq27Lqz62fnPALgYjpQhxVgyRi4jaBHyk0HD0Dkvg59lqWh0CkYBECUMWrJDReU5uPPEYArJNZmibSvQD9Tc2y9ETaX+CmN+VeJOmJ3YeougPlmfIBd6ebBLr5GBxuLNUGdamuu9hVlAucc9XTdiCO9jku8jR8Ko8lZdNhg3+Yd7RklvG8U6U0Xk+HNn3a2iVjR6SmaTn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