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385"/>
        <w:gridCol w:w="3570"/>
        <w:tblGridChange w:id="0">
          <w:tblGrid>
            <w:gridCol w:w="2127"/>
            <w:gridCol w:w="2977"/>
            <w:gridCol w:w="2385"/>
            <w:gridCol w:w="35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№108-113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Способни №№28, 29, 31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стр.30, 36, 37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аккородов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Л. Бетховена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E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Дж. Верди “Аида”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вопросы и план интервью. Сделать конспект по учебнику Курышевой глава 3.3 Форма музыкально-журналистского выступления. Смысловые компоненты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Подготовить 3 связки между номерами концерта. Сделать конспект по учебнику Шляхтиной “Научно-исследовательская работа как основа функционирования музея. Специфика и направления научно-исследовательской деятельности музея”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«Маркетинг», план имиджевой рекламной кампании нашего Колледжа искусств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Д. Д. Шостаковича (РМЛ вып.5, стр. 387-447)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VMFtX+yN+OuBv+Z51dJVskEHQ==">AMUW2mVwcDvHieE4zlmPDxc1+4SeEr9WJ6fGwdLthAbpnp2wsSqcU2UDI+yKyiufLedh2Xiw/6HyCi+Y+nmW8u/7Cczcj8cnZRq6F+jET529/xbmZso4Gm2XDcR53decyD/IP5/ZURzk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