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25"/>
        <w:gridCol w:w="1815"/>
        <w:gridCol w:w="5115"/>
        <w:tblGridChange w:id="0">
          <w:tblGrid>
            <w:gridCol w:w="1500"/>
            <w:gridCol w:w="2625"/>
            <w:gridCol w:w="1815"/>
            <w:gridCol w:w="511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30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канон из сборника: В.П. Середа. Каноны. №3. Продемонстрировать выполнение д/з голосовым сообщением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2ч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 и играть с разрешением характерные интервалы в В-dur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1ч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словесный портрет о личности  и деятельности В.П.Морозова. Продемонстрировать выполнение д/з голосовым сообщением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ч.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Построить, петь, играть в e-moll ув.6, ум.3, и характерные интервалы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2ч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текст и музыкальные номера.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Ae6U6++8eiMUvPQVDHzvKad0w==">AMUW2mWpkkDii5Qtdia6HihQ51sIiJHHOyKaRSIN0Ds4iyINhNVGlEtVCuH8dosnTjK7CMSpGTsPVWvPOjbX1wEzBsqnoxjc61IXHhMSSDW5FwHbw4gi++VDUje7fB8rS5pejvLI0zE/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