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7"/>
        <w:gridCol w:w="2503"/>
        <w:gridCol w:w="2031"/>
        <w:gridCol w:w="4846"/>
        <w:tblGridChange w:id="0">
          <w:tblGrid>
            <w:gridCol w:w="1677"/>
            <w:gridCol w:w="2503"/>
            <w:gridCol w:w="2031"/>
            <w:gridCol w:w="484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Осн.нар хореографии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 хореогр.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Фигуры танца характерные для Ижемского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от звука d ув.2, ум.7,ув.5,ум.4 Разрешать.1-№361-365, 2-№21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Сольф.Учебник.Баева и Зебряк.Стр.50--51:ритмические упражн. и песни учить. Петь от звука интервалы и аккорды.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Распечатать №№ 1, 4, 15-17, 20, 23 Мессы си минор Баха. Послушать указанные номера с нотами.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   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Фигуры танца характерные для Ижемского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“Художественные объединения “Союз русских художников”, “Голубая роза”, “Бубновый валет”. Просмотр фильма “Фальк Р.”.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Инд.гармония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Работа со словосочетаниями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</w:t>
            </w:r>
          </w:p>
          <w:p w:rsidR="00000000" w:rsidDel="00000000" w:rsidP="00000000" w:rsidRDefault="00000000" w:rsidRPr="00000000" w14:paraId="00000040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хореографии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Фигуры танца характерные для Ижемского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прочитать и законспектировать стр. 183-197 (РМЛ вып. 3)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послушать “Шехеразаду” Н. А. Римского-Корсакова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Вокально-хоровая работа по  методу Г.М. Науменко. Репертуар детского хора. Сайт: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https://naumenko-gm.ru/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Ответить на вопросы до 06.04.2020.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 нар хореографии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Фигуры танца характерные для Ижемского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гр.4.2.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тв. коллективом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музыкальные упражнения из заданных музыкальных сборников. Сочинить музыкальные примеры по образцу. предоставить работу до 06.04.2020.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репертуара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Биография П.В. Шучалина,анализ тематики песенного творчества, поэтического текста, определение диапазона, тесситуры, музыкально-выразительных средств. Предоставить ответы до 06.04.2020</w:t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61E8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aumenko-g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IkCds7SU9RD2hbizYHgXZdGAg==">AMUW2mUuajjvxi4FEthJTkOLaaACqpk7q5dG4pCDonJdj6yYbNIWe8fVBWX0V46gzP7+Vr6hxzgeTJc15xiVWSqHJ9KfcymxBjFba/iXspR8LpdmFZOwG+5j+O8AgZdlTrLTwJwgE4gj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