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highlight w:val="white"/>
                <w:rtl w:val="0"/>
              </w:rPr>
              <w:t xml:space="preserve">merkel.n@yandex.ru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0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31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32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33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34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3C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риторики.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Способина из конца бригадного учебника.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период с модуляцией в далекую тональность и энгармоническим возвратом.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S90OZJCacBbgOFQQv12jyUOHYcCXiZRb" TargetMode="External"/><Relationship Id="rId12" Type="http://schemas.openxmlformats.org/officeDocument/2006/relationships/hyperlink" Target="https://drive.google.com/drive/folders/16RnBcQBjbVb-YKY93kBjOkrwm3H3fbFH?usp=sharing" TargetMode="External"/><Relationship Id="rId9" Type="http://schemas.openxmlformats.org/officeDocument/2006/relationships/hyperlink" Target="https://drive.google.com/open?id=1LGHRMD4-WJlOsHeJ3y9NprEeeakcNhJ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aT4ye58SXD6XTQsTtmSOM2WVjP3Bkp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rYpv46m3ZI91XwtmMnWMh5uRw==">AMUW2mVTLyoPT5nuQH8E3tqDMSeqBZRTVlnhnqtcWSfOGWQ+8SthHB2odkLDPteCC7+cUrg+ixcnBUZLuoR/r0SbQMzkomg6MbFGewBc9Mad2IyVWLIuQnjmVooa9xVw1kMDliSIi0mx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