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Уткин гл.17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гл.8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Распечатка: №№22, 23, 24 письменно, №30 (игра и пение)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II7, VII7 с обращениями в тональностях до четырёх знаков и от звука.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конспекты «Лирические песни», «Городские песни»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№№ 73, 79, 80, 88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Сочиненные периоды с расширением (3 вида расширения) можно записать и сфотографировать и прислать мне в ВК на проверку. Можно записать видео, но только так, чтобы я видела Ваши руки сверху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№ 280а решать, присылать на проверку.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А.Бенуа – художник, историк искусства.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МЛЗС вып.4 - прочитать стр. 583-610.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I действие оперы Дж. Верди «Травиата».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обучения.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377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260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530 № 9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параграф №57 «Анализ муз.произведений» (С.С.Скребков (Юрайт 2018));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2.Анализ: Моцарт – финал сонат №3 (В-dur) и №14 (c-moll)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zHGGzMvxMkGkJETQtr46oSozw==">AMUW2mUwwF7Vu6zlCLdWPoitBynkgpnEa4mgfMaVyrfNYWPsm0f0RphxBURr0do7zyafMeubwXVKCgs9luQcRpBQiKS7MmDwjiO+zWvVdnQmR9787gghDeTX8lVyd9IMb48p4TCK4tqy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