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693"/>
        <w:gridCol w:w="1985"/>
        <w:gridCol w:w="4819"/>
        <w:tblGridChange w:id="0">
          <w:tblGrid>
            <w:gridCol w:w="1560"/>
            <w:gridCol w:w="2693"/>
            <w:gridCol w:w="1985"/>
            <w:gridCol w:w="481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конспекты «Лирические песни», «Городские песни»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№№ 73, 79, 80, 88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Литература. Нравственно-философская проблематика романа "Преступление и наказание"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Построить, петь, играть Д7 с обращениями и разрешением в B и 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Сольф. Баева и Зебряк. №№ на страницах 54,55 петь. Повторять всё остальное.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слова и вокальные партии «Варенька», «Ок-ок-ок», «Кокӧй, кокӧй, котрав»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досмотреть фильм-оперу Н. А. Римского-Корсакова «Царская невеста»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готовиться к викторине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135, 136, 164.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Ступеневые цепочки стр.12 № 5, стр.13 № 6.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слова и вокальные партии «Варенька», «Ок-ок-ок», «Кокӧй, кокӧй, котрав»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партии песен «Я любила сокола», «За речкою, за быстрою»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№№352,347,348,356—учить.Петь хром  гаммы от разных звуков.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Бриг. Учебник. Тема 55. Письм. Гармонизация: Ал.№392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слова и вокальные партии «Варенька», «Ок-ок-ок», «Кокӧй, кокӧй, котрав»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партии песен «Я любила сокола», «За речкою, за быстрою»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1vzxwMniEu6oSzqlJNmJn8GnQ==">AMUW2mVzaHkUyjcJLnQzVArN7aczOFx0jHN+JExRHsos6s2A0osAUnbz8vUgRUtHXVnR9Qctop9sOSnvurBj7vn7dPrC5I0nq6OhGWYHoXfZl/+CJUZHjiXnhYnO0ETra22GRxfIy57k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